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 xml:space="preserve">Реквизиты  ООО «Строй Ком»</w:t>
      </w:r>
      <w:r>
        <w:rPr>
          <w:rFonts w:ascii="Arial" w:hAnsi="Arial" w:cs="Arial"/>
          <w:b/>
          <w:sz w:val="28"/>
          <w:szCs w:val="28"/>
        </w:rPr>
      </w:r>
    </w:p>
    <w:tbl>
      <w:tblPr>
        <w:tblStyle w:val="684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345"/>
      </w:tblGrid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 xml:space="preserve">Полное наименование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 xml:space="preserve">Общество с ограниченной ответственностью «Строй Ком»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pStyle w:val="82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 xml:space="preserve">Юридический и фактический адрес: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2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Краснодарский край, г. Анапа, пр-д Золотой берег, д. 2Б, 353456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ИНН 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2311172479     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КПП  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230145001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ОГРН   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1142311006100  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ОКПО 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26378842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</w:tr>
      <w:tr>
        <w:trPr/>
        <w:tc>
          <w:tcPr>
            <w:tcW w:w="3226" w:type="dxa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  <w:t xml:space="preserve">ЭДО СБИС (Тензор)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8"/>
                <w:szCs w:val="28"/>
                <w:highlight w:val="none"/>
              </w:rPr>
            </w:pP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  <w:t xml:space="preserve">2BEd6d751ae259e4f989251c7fcde74041c</w:t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Меркурий ХС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sz w:val="28"/>
                <w:szCs w:val="28"/>
                <w:highlight w:val="none"/>
              </w:rPr>
            </w:pP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1d4f2a87-5d7d-45dc-8637-19488eb6ad52</w:t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  <w:t xml:space="preserve">Меркурий Площадка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sz w:val="28"/>
                <w:szCs w:val="28"/>
                <w:highlight w:val="none"/>
              </w:rPr>
            </w:pP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  <w:t xml:space="preserve">5680465c-c83c-4019-81a6-9b5a935837f4</w:t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р/с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sz w:val="28"/>
                <w:szCs w:val="28"/>
                <w:highlight w:val="none"/>
              </w:rPr>
            </w:pP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40702810730000031488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 xml:space="preserve">Наименование банка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sz w:val="28"/>
                <w:szCs w:val="28"/>
                <w:highlight w:val="none"/>
              </w:rPr>
            </w:pP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Краснодарское  отделение № 8619 ПАО «Сбербанк России»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г. Краснодар</w:t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к/с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sz w:val="28"/>
                <w:szCs w:val="28"/>
                <w:highlight w:val="none"/>
              </w:rPr>
            </w:pP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30101810100000000602</w:t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БИК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sz w:val="28"/>
                <w:szCs w:val="28"/>
                <w:highlight w:val="none"/>
              </w:rPr>
            </w:pP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040349602</w:t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8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Директор</w:t>
            </w:r>
            <w:r>
              <w:rPr>
                <w:rFonts w:ascii="Arial" w:hAnsi="Arial" w:eastAsia="Arial" w:cs="Arial"/>
                <w:sz w:val="28"/>
                <w:szCs w:val="28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</w:r>
          </w:p>
        </w:tc>
        <w:tc>
          <w:tcPr>
            <w:tcW w:w="6345" w:type="dxa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sz w:val="28"/>
                <w:szCs w:val="28"/>
                <w:highlight w:val="none"/>
              </w:rPr>
            </w:pP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Акопян Карен Кимович</w:t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none"/>
              </w:rPr>
            </w:r>
          </w:p>
        </w:tc>
      </w:tr>
    </w:tbl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28"/>
    <w:next w:val="828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8"/>
    <w:next w:val="828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8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8"/>
    <w:next w:val="828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link w:val="837"/>
    <w:uiPriority w:val="99"/>
  </w:style>
  <w:style w:type="character" w:styleId="682">
    <w:name w:val="Footer Char"/>
    <w:link w:val="838"/>
    <w:uiPriority w:val="99"/>
  </w:style>
  <w:style w:type="character" w:styleId="683">
    <w:name w:val="Caption Char"/>
    <w:basedOn w:val="835"/>
    <w:link w:val="838"/>
    <w:uiPriority w:val="99"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29">
    <w:name w:val="Основной шрифт абзаца"/>
    <w:qFormat/>
  </w:style>
  <w:style w:type="character" w:styleId="830">
    <w:name w:val="Верхний колонтитул Знак"/>
    <w:basedOn w:val="829"/>
    <w:qFormat/>
  </w:style>
  <w:style w:type="character" w:styleId="831">
    <w:name w:val="Нижний колонтитул Знак"/>
    <w:basedOn w:val="829"/>
    <w:qFormat/>
  </w:style>
  <w:style w:type="paragraph" w:styleId="832">
    <w:name w:val="Heading"/>
    <w:basedOn w:val="828"/>
    <w:next w:val="83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3">
    <w:name w:val="Body Text"/>
    <w:basedOn w:val="828"/>
    <w:pPr>
      <w:spacing w:before="0" w:after="140" w:line="276" w:lineRule="auto"/>
    </w:pPr>
  </w:style>
  <w:style w:type="paragraph" w:styleId="834">
    <w:name w:val="List"/>
    <w:basedOn w:val="833"/>
  </w:style>
  <w:style w:type="paragraph" w:styleId="835">
    <w:name w:val="Caption"/>
    <w:basedOn w:val="82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6">
    <w:name w:val="Index"/>
    <w:basedOn w:val="828"/>
    <w:qFormat/>
    <w:pPr>
      <w:suppressLineNumbers/>
    </w:pPr>
  </w:style>
  <w:style w:type="paragraph" w:styleId="837">
    <w:name w:val="Header"/>
    <w:basedOn w:val="828"/>
    <w:pPr>
      <w:spacing w:before="0" w:after="0" w:line="240" w:lineRule="auto"/>
    </w:pPr>
  </w:style>
  <w:style w:type="paragraph" w:styleId="838">
    <w:name w:val="Footer"/>
    <w:basedOn w:val="828"/>
    <w:pPr>
      <w:spacing w:before="0" w:after="0" w:line="240" w:lineRule="auto"/>
    </w:p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dc:language>en-US</dc:language>
  <cp:revision>9</cp:revision>
  <dcterms:created xsi:type="dcterms:W3CDTF">2015-03-03T14:28:00Z</dcterms:created>
  <dcterms:modified xsi:type="dcterms:W3CDTF">2025-04-01T18:02:13Z</dcterms:modified>
</cp:coreProperties>
</file>